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BD" w:rsidRDefault="00662509" w:rsidP="00662509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2E66D06" wp14:editId="5CF11FC6">
            <wp:simplePos x="0" y="0"/>
            <wp:positionH relativeFrom="column">
              <wp:posOffset>-4445</wp:posOffset>
            </wp:positionH>
            <wp:positionV relativeFrom="paragraph">
              <wp:posOffset>281940</wp:posOffset>
            </wp:positionV>
            <wp:extent cx="8715375" cy="4902200"/>
            <wp:effectExtent l="0" t="0" r="9525" b="0"/>
            <wp:wrapTight wrapText="bothSides">
              <wp:wrapPolygon edited="0">
                <wp:start x="0" y="0"/>
                <wp:lineTo x="0" y="21488"/>
                <wp:lineTo x="21576" y="21488"/>
                <wp:lineTo x="2157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509">
        <w:t>A.2.3 Los bienes inmuebles se registran contablemente como mínimo a valor catastral</w:t>
      </w:r>
      <w:bookmarkStart w:id="0" w:name="_GoBack"/>
      <w:bookmarkEnd w:id="0"/>
    </w:p>
    <w:sectPr w:rsidR="005A59BD" w:rsidSect="0066250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09"/>
    <w:rsid w:val="005A59BD"/>
    <w:rsid w:val="006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41965-5AE4-41FE-A91E-CA5CE94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 Cuautla</dc:creator>
  <cp:keywords/>
  <dc:description/>
  <cp:lastModifiedBy>Tesoreria Cuautla</cp:lastModifiedBy>
  <cp:revision>1</cp:revision>
  <dcterms:created xsi:type="dcterms:W3CDTF">2019-08-05T16:53:00Z</dcterms:created>
  <dcterms:modified xsi:type="dcterms:W3CDTF">2019-08-05T16:54:00Z</dcterms:modified>
</cp:coreProperties>
</file>