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02" w:rsidRPr="00BB2250" w:rsidRDefault="00371A02" w:rsidP="00371A02"/>
    <w:p w:rsidR="00371A02" w:rsidRPr="00BB2250" w:rsidRDefault="00371A02" w:rsidP="00371A0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AB90E" wp14:editId="7D3A42D2">
                <wp:simplePos x="0" y="0"/>
                <wp:positionH relativeFrom="column">
                  <wp:posOffset>1624965</wp:posOffset>
                </wp:positionH>
                <wp:positionV relativeFrom="paragraph">
                  <wp:posOffset>148590</wp:posOffset>
                </wp:positionV>
                <wp:extent cx="3419475" cy="28956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A02" w:rsidRDefault="00371A02" w:rsidP="00371A0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MANUAL DE </w:t>
                            </w:r>
                            <w:r w:rsidR="00CB1FD6">
                              <w:rPr>
                                <w:sz w:val="52"/>
                                <w:szCs w:val="52"/>
                              </w:rPr>
                              <w:t xml:space="preserve"> OPERACIÓN </w:t>
                            </w:r>
                            <w:r w:rsidR="002456B3">
                              <w:rPr>
                                <w:sz w:val="52"/>
                                <w:szCs w:val="52"/>
                              </w:rPr>
                              <w:t xml:space="preserve">Y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PROCEDIMIENTOS</w:t>
                            </w:r>
                          </w:p>
                          <w:p w:rsidR="00371A02" w:rsidRDefault="00371A02" w:rsidP="00371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Registro C</w:t>
                            </w:r>
                            <w:r w:rsidRPr="00A05F15">
                              <w:rPr>
                                <w:sz w:val="28"/>
                                <w:szCs w:val="28"/>
                              </w:rPr>
                              <w:t>ivil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71A02" w:rsidRDefault="00371A02" w:rsidP="00371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Municipio de Cuautla, Jalisco. </w:t>
                            </w:r>
                          </w:p>
                          <w:p w:rsidR="00371A02" w:rsidRDefault="00371A02" w:rsidP="00371A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Admón. 2018-2021.</w:t>
                            </w:r>
                          </w:p>
                          <w:p w:rsidR="00371A02" w:rsidRPr="00912CD3" w:rsidRDefault="00371A02" w:rsidP="00371A0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371A02" w:rsidRDefault="00371A02" w:rsidP="0037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AB90E" id="Rectángulo redondeado 3" o:spid="_x0000_s1026" style="position:absolute;margin-left:127.95pt;margin-top:11.7pt;width:269.25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371A02" w:rsidRDefault="00371A02" w:rsidP="00371A0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MANUAL DE </w:t>
                      </w:r>
                      <w:r w:rsidR="00CB1FD6">
                        <w:rPr>
                          <w:sz w:val="52"/>
                          <w:szCs w:val="52"/>
                        </w:rPr>
                        <w:t xml:space="preserve"> OPERACIÓN </w:t>
                      </w:r>
                      <w:r w:rsidR="002456B3">
                        <w:rPr>
                          <w:sz w:val="52"/>
                          <w:szCs w:val="52"/>
                        </w:rPr>
                        <w:t xml:space="preserve">Y </w:t>
                      </w:r>
                      <w:r>
                        <w:rPr>
                          <w:sz w:val="52"/>
                          <w:szCs w:val="52"/>
                        </w:rPr>
                        <w:t>PROCEDIMIENTOS</w:t>
                      </w:r>
                    </w:p>
                    <w:p w:rsidR="00371A02" w:rsidRDefault="00371A02" w:rsidP="00371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Registro C</w:t>
                      </w:r>
                      <w:r w:rsidRPr="00A05F15">
                        <w:rPr>
                          <w:sz w:val="28"/>
                          <w:szCs w:val="28"/>
                        </w:rPr>
                        <w:t>ivil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71A02" w:rsidRDefault="00371A02" w:rsidP="00371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Municipio de Cuautla, Jalisco. </w:t>
                      </w:r>
                    </w:p>
                    <w:p w:rsidR="00371A02" w:rsidRDefault="00371A02" w:rsidP="00371A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Admón. 2018-2021.</w:t>
                      </w:r>
                    </w:p>
                    <w:p w:rsidR="00371A02" w:rsidRPr="00912CD3" w:rsidRDefault="00371A02" w:rsidP="00371A0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371A02" w:rsidRDefault="00371A02" w:rsidP="00371A02"/>
                  </w:txbxContent>
                </v:textbox>
              </v:roundrect>
            </w:pict>
          </mc:Fallback>
        </mc:AlternateContent>
      </w:r>
    </w:p>
    <w:p w:rsidR="00371A02" w:rsidRDefault="00371A02" w:rsidP="00371A02"/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right"/>
      </w:pPr>
    </w:p>
    <w:p w:rsidR="00371A02" w:rsidRDefault="00371A02" w:rsidP="00371A02">
      <w:pPr>
        <w:jc w:val="center"/>
      </w:pPr>
      <w:r>
        <w:t xml:space="preserve">                                                                                                                  Diciembre de 2018. </w:t>
      </w: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3F1AB2" w:rsidP="003F1AB2">
      <w:pPr>
        <w:tabs>
          <w:tab w:val="left" w:pos="3075"/>
        </w:tabs>
      </w:pPr>
      <w:r>
        <w:tab/>
      </w:r>
    </w:p>
    <w:p w:rsidR="003F1AB2" w:rsidRDefault="003F1AB2" w:rsidP="003F1AB2">
      <w:pPr>
        <w:tabs>
          <w:tab w:val="left" w:pos="3075"/>
        </w:tabs>
      </w:pPr>
    </w:p>
    <w:p w:rsidR="003F1AB2" w:rsidRDefault="003F1AB2" w:rsidP="003F1AB2">
      <w:pPr>
        <w:tabs>
          <w:tab w:val="left" w:pos="3075"/>
        </w:tabs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212789" w:rsidRDefault="00212789" w:rsidP="00212789">
      <w:pPr>
        <w:tabs>
          <w:tab w:val="left" w:pos="558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F0D41" wp14:editId="0D9C4092">
                <wp:simplePos x="0" y="0"/>
                <wp:positionH relativeFrom="column">
                  <wp:posOffset>-280035</wp:posOffset>
                </wp:positionH>
                <wp:positionV relativeFrom="paragraph">
                  <wp:posOffset>14605</wp:posOffset>
                </wp:positionV>
                <wp:extent cx="666750" cy="379730"/>
                <wp:effectExtent l="0" t="19050" r="38100" b="3937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973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7B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-22.05pt;margin-top:1.15pt;width:52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" adj="15449" fillcolor="white [3201]" strokecolor="#747070 [1614]" strokeweight="1pt"/>
            </w:pict>
          </mc:Fallback>
        </mc:AlternateContent>
      </w:r>
      <w:r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PRESENTACIO</w:t>
      </w:r>
      <w:r w:rsidRPr="00B851FD"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</w:p>
    <w:p w:rsidR="00212789" w:rsidRDefault="00212789" w:rsidP="00212789">
      <w:pPr>
        <w:tabs>
          <w:tab w:val="left" w:pos="558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12789" w:rsidRDefault="00212789" w:rsidP="007C6275">
      <w:pPr>
        <w:tabs>
          <w:tab w:val="left" w:pos="5580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1278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El presente </w:t>
      </w: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manual tiene como propósito </w:t>
      </w:r>
      <w:r w:rsidR="00720FC4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ser una guía rápida </w:t>
      </w:r>
      <w:r w:rsidR="00D039A7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que incluya de forma detallada la operación </w:t>
      </w:r>
      <w:r w:rsidR="007C6275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 desarrollo de las actividades del Registro</w:t>
      </w:r>
      <w:r w:rsidR="002317CD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Civil del Municipio de Cuautla,  motivando con ello a un buen funcionamiento administrativo. </w:t>
      </w:r>
    </w:p>
    <w:p w:rsidR="00EE4319" w:rsidRDefault="00EE4319" w:rsidP="007C6275">
      <w:pPr>
        <w:tabs>
          <w:tab w:val="left" w:pos="5580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E4319" w:rsidRDefault="00913EA3" w:rsidP="007C6275">
      <w:pPr>
        <w:tabs>
          <w:tab w:val="left" w:pos="5580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Los objetivos de este instrumento </w:t>
      </w:r>
      <w:r w:rsidR="00EE431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son:</w:t>
      </w:r>
    </w:p>
    <w:p w:rsidR="00EE4319" w:rsidRDefault="00EE4319" w:rsidP="007C6275">
      <w:pPr>
        <w:tabs>
          <w:tab w:val="left" w:pos="5580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A7B73" w:rsidRDefault="00FA7B73" w:rsidP="007C6275">
      <w:pPr>
        <w:tabs>
          <w:tab w:val="left" w:pos="5580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 w:rsidR="00EE431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Describir de forma clara y detallada los</w:t>
      </w:r>
      <w:r w:rsidR="00CB1FD6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E431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procedimientos de esta Oficialía.</w:t>
      </w:r>
    </w:p>
    <w:p w:rsidR="00913EA3" w:rsidRDefault="00913EA3" w:rsidP="007C6275">
      <w:pPr>
        <w:tabs>
          <w:tab w:val="left" w:pos="5580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13EA3" w:rsidRDefault="00FA7B73" w:rsidP="00913EA3">
      <w:pPr>
        <w:tabs>
          <w:tab w:val="center" w:pos="4252"/>
        </w:tabs>
        <w:spacing w:line="240" w:lineRule="auto"/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 w:rsidR="00EE431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Determinar responsabilidades para la </w:t>
      </w: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ejecución y evaluación de las actividades realizadas. </w:t>
      </w:r>
    </w:p>
    <w:p w:rsidR="00913EA3" w:rsidRDefault="00913EA3" w:rsidP="00913EA3">
      <w:pPr>
        <w:tabs>
          <w:tab w:val="center" w:pos="4252"/>
        </w:tabs>
        <w:spacing w:line="240" w:lineRule="auto"/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A7B73" w:rsidRDefault="00FA7B73" w:rsidP="00913EA3">
      <w:pPr>
        <w:tabs>
          <w:tab w:val="center" w:pos="4252"/>
        </w:tabs>
        <w:spacing w:line="240" w:lineRule="auto"/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</w:t>
      </w:r>
      <w:r w:rsidR="0036010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Apoyar en la </w:t>
      </w:r>
      <w:r w:rsidR="0089126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inducción, adiestramiento y capacitación del </w:t>
      </w:r>
      <w:r w:rsidR="0081275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personal</w:t>
      </w:r>
      <w:r w:rsidR="00891269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1275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ya que se describen claramente las funciones </w:t>
      </w:r>
      <w:r w:rsidR="00D23F73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 desarrollar. </w:t>
      </w:r>
    </w:p>
    <w:p w:rsidR="00EE4319" w:rsidRDefault="00FA7B73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C473E" w:rsidRDefault="001C473E" w:rsidP="001C473E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26F0A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Objetivo: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Prestar un servicio eficiente y eficaz a las personas que acudan  a solicitar algún trámite o servicio tratando de solucionar  de una manera oportuna sus solicitudes otorgando certeza y seguridad a los mismos.</w:t>
      </w:r>
    </w:p>
    <w:p w:rsidR="001C473E" w:rsidRPr="007C099E" w:rsidRDefault="001C473E" w:rsidP="001C473E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1C473E" w:rsidRPr="007C099E" w:rsidRDefault="001C473E" w:rsidP="001C473E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Funciones</w:t>
      </w:r>
      <w:r>
        <w:rPr>
          <w:rFonts w:ascii="Times New Roman" w:hAnsi="Times New Roman" w:cs="Times New Roman"/>
          <w:b/>
          <w:sz w:val="24"/>
          <w:szCs w:val="24"/>
        </w:rPr>
        <w:t xml:space="preserve"> Oficial del Registro Civil</w:t>
      </w:r>
      <w:r w:rsidRPr="007C099E">
        <w:rPr>
          <w:rFonts w:ascii="Times New Roman" w:hAnsi="Times New Roman" w:cs="Times New Roman"/>
          <w:b/>
          <w:sz w:val="24"/>
          <w:szCs w:val="24"/>
        </w:rPr>
        <w:t>:</w:t>
      </w:r>
    </w:p>
    <w:p w:rsidR="001C473E" w:rsidRDefault="001C473E" w:rsidP="001C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CF8" w:rsidRPr="00D03D41" w:rsidRDefault="001C473E" w:rsidP="00A34CF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10">
        <w:rPr>
          <w:rFonts w:ascii="Times New Roman" w:hAnsi="Times New Roman" w:cs="Times New Roman"/>
          <w:sz w:val="24"/>
          <w:szCs w:val="24"/>
        </w:rPr>
        <w:t xml:space="preserve">Registros de nacimiento, matrimonio, levantamientos de actas de defunción </w:t>
      </w:r>
      <w:r>
        <w:rPr>
          <w:rFonts w:ascii="Times New Roman" w:hAnsi="Times New Roman" w:cs="Times New Roman"/>
          <w:sz w:val="24"/>
          <w:szCs w:val="24"/>
        </w:rPr>
        <w:t xml:space="preserve"> y divorcio </w:t>
      </w:r>
      <w:r w:rsidRPr="008F7310">
        <w:rPr>
          <w:rFonts w:ascii="Times New Roman" w:hAnsi="Times New Roman" w:cs="Times New Roman"/>
          <w:sz w:val="24"/>
          <w:szCs w:val="24"/>
        </w:rPr>
        <w:t xml:space="preserve">e inscripciones de actas </w:t>
      </w:r>
      <w:r>
        <w:rPr>
          <w:rFonts w:ascii="Times New Roman" w:hAnsi="Times New Roman" w:cs="Times New Roman"/>
          <w:sz w:val="24"/>
          <w:szCs w:val="24"/>
        </w:rPr>
        <w:t>extranjeras.</w:t>
      </w:r>
    </w:p>
    <w:p w:rsidR="001C473E" w:rsidRPr="008967D6" w:rsidRDefault="001C473E" w:rsidP="001C473E">
      <w:pPr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Aclaraciones administrativas. </w:t>
      </w:r>
    </w:p>
    <w:p w:rsidR="001C473E" w:rsidRPr="004F064F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Asesoría  y orientación en asuntos relativos a anotación o rectificación  de Actas. </w:t>
      </w:r>
    </w:p>
    <w:p w:rsidR="001C473E" w:rsidRPr="008967D6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Divorcios administrativos.</w:t>
      </w:r>
    </w:p>
    <w:p w:rsidR="001C473E" w:rsidRPr="008967D6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Permisos  de inhumación y traslado  de cadáveres.</w:t>
      </w:r>
    </w:p>
    <w:p w:rsidR="001C473E" w:rsidRPr="00AE2EA0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10">
        <w:rPr>
          <w:rFonts w:ascii="Times New Roman" w:hAnsi="Times New Roman" w:cs="Times New Roman"/>
          <w:sz w:val="24"/>
          <w:szCs w:val="24"/>
        </w:rPr>
        <w:t xml:space="preserve">Expedición de  Actas  de nacimiento,  matrimonio y defunción del municipio y foráneas (De otros Estados y </w:t>
      </w:r>
      <w:r>
        <w:rPr>
          <w:rFonts w:ascii="Times New Roman" w:hAnsi="Times New Roman" w:cs="Times New Roman"/>
          <w:sz w:val="24"/>
          <w:szCs w:val="24"/>
        </w:rPr>
        <w:t xml:space="preserve"> otros </w:t>
      </w:r>
      <w:r w:rsidRPr="008F7310">
        <w:rPr>
          <w:rFonts w:ascii="Times New Roman" w:hAnsi="Times New Roman" w:cs="Times New Roman"/>
          <w:sz w:val="24"/>
          <w:szCs w:val="24"/>
        </w:rPr>
        <w:t>municipios del Estado).</w:t>
      </w:r>
    </w:p>
    <w:p w:rsidR="001C473E" w:rsidRPr="00065E1A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Anotaciones por los diversos actos. </w:t>
      </w:r>
    </w:p>
    <w:p w:rsidR="001C473E" w:rsidRPr="00017257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Altas de clave CURP y modificación de las mismas. </w:t>
      </w:r>
    </w:p>
    <w:p w:rsidR="001C473E" w:rsidRPr="00017257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7">
        <w:rPr>
          <w:rFonts w:ascii="Times New Roman" w:hAnsi="Times New Roman" w:cs="Times New Roman"/>
          <w:sz w:val="24"/>
          <w:szCs w:val="24"/>
        </w:rPr>
        <w:t>Servicio de Copias y Escaneos al público</w:t>
      </w:r>
      <w:r>
        <w:rPr>
          <w:rFonts w:ascii="Times New Roman" w:hAnsi="Times New Roman" w:cs="Times New Roman"/>
          <w:sz w:val="24"/>
          <w:szCs w:val="24"/>
        </w:rPr>
        <w:t xml:space="preserve"> en general.</w:t>
      </w:r>
    </w:p>
    <w:p w:rsidR="001C473E" w:rsidRPr="00017257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Acudir  mensualmente al Archivo del Estado y al Instituto Nacional de Estadística Geografía e Historia (INEGI) para la entrega de  papelería generada en esta Oficialía. </w:t>
      </w:r>
    </w:p>
    <w:p w:rsidR="001C473E" w:rsidRPr="00DB362D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Realizar reportes a la Secretaria de Salud semanal y mensualmente, a Contraloría Municipal y al Instituto Nacional Electoral. </w:t>
      </w:r>
    </w:p>
    <w:p w:rsidR="001C473E" w:rsidRPr="00DB362D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Realizar todos los trámites administrativos de la Dirección de Registro Civil requeridos por la Administración  </w:t>
      </w:r>
      <w:r w:rsidR="00095573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Municipal. </w:t>
      </w:r>
    </w:p>
    <w:p w:rsidR="001C473E" w:rsidRPr="00767688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Atender las instrucciones del Presidente Municipal y de los Superiores Jerárquicos dentro de las facultades otorgadas por la dependencia y los  ordenamientos aplicables. </w:t>
      </w:r>
    </w:p>
    <w:p w:rsidR="00D03D41" w:rsidRPr="00D03D41" w:rsidRDefault="00D03D41" w:rsidP="00D03D4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03D41" w:rsidRDefault="00D03D41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D41" w:rsidRDefault="00D03D41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D41" w:rsidRDefault="00D03D41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D41" w:rsidRDefault="00D03D41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DF3" w:rsidRDefault="00D03D41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 levantamiento de Actos el Oficial debe cerciorarse</w:t>
      </w:r>
      <w:r w:rsidR="00095573">
        <w:rPr>
          <w:rFonts w:ascii="Times New Roman" w:hAnsi="Times New Roman" w:cs="Times New Roman"/>
          <w:sz w:val="24"/>
          <w:szCs w:val="24"/>
        </w:rPr>
        <w:t xml:space="preserve"> que los interesados cumplan con todos los requisitos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573">
        <w:rPr>
          <w:rFonts w:ascii="Times New Roman" w:hAnsi="Times New Roman" w:cs="Times New Roman"/>
          <w:sz w:val="24"/>
          <w:szCs w:val="24"/>
        </w:rPr>
        <w:t xml:space="preserve">establecidos por la Ley del Registro Civil del Estado de Jalisco, el Código Civil </w:t>
      </w:r>
      <w:r w:rsidR="00E17DF3">
        <w:rPr>
          <w:rFonts w:ascii="Times New Roman" w:hAnsi="Times New Roman" w:cs="Times New Roman"/>
          <w:sz w:val="24"/>
          <w:szCs w:val="24"/>
        </w:rPr>
        <w:t xml:space="preserve"> del Estado y los demás ordenamientos aplicables.</w:t>
      </w:r>
      <w:r w:rsidR="006C0DC7">
        <w:rPr>
          <w:rFonts w:ascii="Times New Roman" w:hAnsi="Times New Roman" w:cs="Times New Roman"/>
          <w:sz w:val="24"/>
          <w:szCs w:val="24"/>
        </w:rPr>
        <w:t xml:space="preserve"> </w:t>
      </w:r>
      <w:r w:rsidR="00E17DF3">
        <w:rPr>
          <w:rFonts w:ascii="Times New Roman" w:hAnsi="Times New Roman" w:cs="Times New Roman"/>
          <w:sz w:val="24"/>
          <w:szCs w:val="24"/>
        </w:rPr>
        <w:t xml:space="preserve">Debe además asegurarse de </w:t>
      </w:r>
      <w:r w:rsidR="009E6AA1">
        <w:rPr>
          <w:rFonts w:ascii="Times New Roman" w:hAnsi="Times New Roman" w:cs="Times New Roman"/>
          <w:sz w:val="24"/>
          <w:szCs w:val="24"/>
        </w:rPr>
        <w:t xml:space="preserve"> contar con los formatos necesarios para el levantamiento de los mismos.</w:t>
      </w:r>
    </w:p>
    <w:p w:rsidR="00212D3F" w:rsidRDefault="00212D3F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F" w:rsidRDefault="00212D3F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6477D6">
        <w:rPr>
          <w:rFonts w:ascii="Times New Roman" w:hAnsi="Times New Roman" w:cs="Times New Roman"/>
          <w:sz w:val="24"/>
          <w:szCs w:val="24"/>
        </w:rPr>
        <w:t>las Al</w:t>
      </w:r>
      <w:r>
        <w:rPr>
          <w:rFonts w:ascii="Times New Roman" w:hAnsi="Times New Roman" w:cs="Times New Roman"/>
          <w:sz w:val="24"/>
          <w:szCs w:val="24"/>
        </w:rPr>
        <w:t xml:space="preserve">tas de Clave Única de Registro de Población (CURP), debe cerciorarse que los datos del Acta de Nacimiento estén correctos y coincidan con  los de CURP a levantarse. </w:t>
      </w:r>
    </w:p>
    <w:p w:rsidR="00212D3F" w:rsidRDefault="00212D3F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F" w:rsidRDefault="00212D3F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realizar  modificaciones en  CURP el Oficial deberá basarse en  el Acta de Nacimiento del solicitante  como documento probatorio. </w:t>
      </w:r>
    </w:p>
    <w:p w:rsidR="00212D3F" w:rsidRDefault="00212D3F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3F" w:rsidRDefault="00212D3F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00D" w:rsidRDefault="00212D3F" w:rsidP="00D03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la Entrega de Papelería generada en la Oficialía</w:t>
      </w:r>
      <w:r w:rsidR="006A0994">
        <w:rPr>
          <w:rFonts w:ascii="Times New Roman" w:hAnsi="Times New Roman" w:cs="Times New Roman"/>
          <w:sz w:val="24"/>
          <w:szCs w:val="24"/>
        </w:rPr>
        <w:t>, el oficial deberá ordenar los actos de acuerdo</w:t>
      </w:r>
      <w:r w:rsidR="006859E8">
        <w:rPr>
          <w:rFonts w:ascii="Times New Roman" w:hAnsi="Times New Roman" w:cs="Times New Roman"/>
          <w:sz w:val="24"/>
          <w:szCs w:val="24"/>
        </w:rPr>
        <w:t xml:space="preserve"> al consecutivo correspondiente</w:t>
      </w:r>
      <w:r w:rsidR="006A0994">
        <w:rPr>
          <w:rFonts w:ascii="Times New Roman" w:hAnsi="Times New Roman" w:cs="Times New Roman"/>
          <w:sz w:val="24"/>
          <w:szCs w:val="24"/>
        </w:rPr>
        <w:t xml:space="preserve"> anexando</w:t>
      </w:r>
      <w:r w:rsidR="00325253">
        <w:rPr>
          <w:rFonts w:ascii="Times New Roman" w:hAnsi="Times New Roman" w:cs="Times New Roman"/>
          <w:sz w:val="24"/>
          <w:szCs w:val="24"/>
        </w:rPr>
        <w:t xml:space="preserve"> un oficio </w:t>
      </w:r>
      <w:r w:rsidR="006A0994">
        <w:rPr>
          <w:rFonts w:ascii="Times New Roman" w:hAnsi="Times New Roman" w:cs="Times New Roman"/>
          <w:sz w:val="24"/>
          <w:szCs w:val="24"/>
        </w:rPr>
        <w:t>con dos copias</w:t>
      </w:r>
      <w:r w:rsidR="00325253">
        <w:rPr>
          <w:rFonts w:ascii="Times New Roman" w:hAnsi="Times New Roman" w:cs="Times New Roman"/>
          <w:sz w:val="24"/>
          <w:szCs w:val="24"/>
        </w:rPr>
        <w:t xml:space="preserve"> para entrega ordinaria</w:t>
      </w:r>
      <w:r w:rsidR="00CB338C">
        <w:rPr>
          <w:rFonts w:ascii="Times New Roman" w:hAnsi="Times New Roman" w:cs="Times New Roman"/>
          <w:sz w:val="24"/>
          <w:szCs w:val="24"/>
        </w:rPr>
        <w:t xml:space="preserve"> y los demás documentos </w:t>
      </w:r>
      <w:r w:rsidR="00FA4E40">
        <w:rPr>
          <w:rFonts w:ascii="Times New Roman" w:hAnsi="Times New Roman" w:cs="Times New Roman"/>
          <w:sz w:val="24"/>
          <w:szCs w:val="24"/>
        </w:rPr>
        <w:t xml:space="preserve"> necesarios </w:t>
      </w:r>
      <w:r w:rsidR="00F06AD9">
        <w:rPr>
          <w:rFonts w:ascii="Times New Roman" w:hAnsi="Times New Roman" w:cs="Times New Roman"/>
          <w:sz w:val="24"/>
          <w:szCs w:val="24"/>
        </w:rPr>
        <w:t>para la realización de anotaciones en la Dirección General</w:t>
      </w:r>
      <w:r w:rsidR="00D3000D">
        <w:rPr>
          <w:rFonts w:ascii="Times New Roman" w:hAnsi="Times New Roman" w:cs="Times New Roman"/>
          <w:sz w:val="24"/>
          <w:szCs w:val="24"/>
        </w:rPr>
        <w:t xml:space="preserve"> de Registro Civil según sea el caso. Ordenando de igual forma los actos</w:t>
      </w:r>
      <w:r w:rsidR="00FA4E40">
        <w:rPr>
          <w:rFonts w:ascii="Times New Roman" w:hAnsi="Times New Roman" w:cs="Times New Roman"/>
          <w:sz w:val="24"/>
          <w:szCs w:val="24"/>
        </w:rPr>
        <w:t xml:space="preserve"> para INEGI. </w:t>
      </w:r>
      <w:r w:rsidR="00D30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F6" w:rsidRPr="006477D6" w:rsidRDefault="00DE07F6" w:rsidP="00647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73E" w:rsidRPr="007574D3" w:rsidRDefault="001C473E" w:rsidP="001C473E">
      <w:pPr>
        <w:rPr>
          <w:rFonts w:ascii="Times New Roman" w:hAnsi="Times New Roman" w:cs="Times New Roman"/>
          <w:sz w:val="24"/>
          <w:szCs w:val="24"/>
        </w:rPr>
      </w:pPr>
    </w:p>
    <w:p w:rsidR="001C473E" w:rsidRPr="009406AF" w:rsidRDefault="001C473E" w:rsidP="001C47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AF">
        <w:rPr>
          <w:rFonts w:ascii="Times New Roman" w:hAnsi="Times New Roman" w:cs="Times New Roman"/>
          <w:b/>
          <w:sz w:val="24"/>
          <w:szCs w:val="24"/>
        </w:rPr>
        <w:t xml:space="preserve">Funciones Auxiliar del Registro Civil: </w:t>
      </w:r>
    </w:p>
    <w:p w:rsidR="001C473E" w:rsidRPr="007C099E" w:rsidRDefault="001C473E" w:rsidP="001C473E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73E" w:rsidRPr="003951D8" w:rsidRDefault="001C473E" w:rsidP="001C473E">
      <w:pPr>
        <w:pStyle w:val="Prrafodelista"/>
        <w:numPr>
          <w:ilvl w:val="0"/>
          <w:numId w:val="1"/>
        </w:numPr>
        <w:tabs>
          <w:tab w:val="left" w:pos="1170"/>
        </w:tabs>
        <w:spacing w:after="0"/>
        <w:jc w:val="both"/>
      </w:pPr>
      <w:r w:rsidRPr="003951D8">
        <w:rPr>
          <w:rFonts w:ascii="Times New Roman" w:hAnsi="Times New Roman" w:cs="Times New Roman"/>
          <w:sz w:val="24"/>
          <w:szCs w:val="24"/>
        </w:rPr>
        <w:t>Expedición de  Actas  de nacimiento,  matrimonio y defunción del municipio y foráneas (De otros Estados y  otros municipios del Estado).</w:t>
      </w:r>
    </w:p>
    <w:p w:rsidR="001C473E" w:rsidRPr="003951D8" w:rsidRDefault="001C473E" w:rsidP="001C473E">
      <w:pPr>
        <w:pStyle w:val="Prrafodelista"/>
        <w:tabs>
          <w:tab w:val="left" w:pos="1170"/>
        </w:tabs>
        <w:spacing w:after="0"/>
        <w:jc w:val="both"/>
      </w:pPr>
    </w:p>
    <w:p w:rsidR="001C473E" w:rsidRDefault="001C473E" w:rsidP="001C473E">
      <w:pPr>
        <w:pStyle w:val="Prrafodelista"/>
        <w:numPr>
          <w:ilvl w:val="0"/>
          <w:numId w:val="1"/>
        </w:numPr>
        <w:tabs>
          <w:tab w:val="left" w:pos="117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Expedición de CURP.</w:t>
      </w:r>
    </w:p>
    <w:p w:rsidR="001C473E" w:rsidRDefault="001C473E" w:rsidP="001C473E">
      <w:pPr>
        <w:pStyle w:val="Prrafodelista"/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7">
        <w:rPr>
          <w:rFonts w:ascii="Times New Roman" w:hAnsi="Times New Roman" w:cs="Times New Roman"/>
          <w:sz w:val="24"/>
          <w:szCs w:val="24"/>
        </w:rPr>
        <w:t>Servicio de Copias y Escaneos al público</w:t>
      </w:r>
      <w:r>
        <w:rPr>
          <w:rFonts w:ascii="Times New Roman" w:hAnsi="Times New Roman" w:cs="Times New Roman"/>
          <w:sz w:val="24"/>
          <w:szCs w:val="24"/>
        </w:rPr>
        <w:t xml:space="preserve"> en general.</w:t>
      </w:r>
    </w:p>
    <w:p w:rsidR="001C473E" w:rsidRPr="003951D8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Apoyo en los levantamientos de actos  y archivado de expedientes. </w:t>
      </w:r>
    </w:p>
    <w:p w:rsidR="001C473E" w:rsidRPr="00BF3603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Actualización y registro de actos en el Índice digital Anualmente. </w:t>
      </w:r>
    </w:p>
    <w:p w:rsidR="001C473E" w:rsidRPr="004E1777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777">
        <w:rPr>
          <w:rFonts w:ascii="Times New Roman" w:hAnsi="Times New Roman" w:cs="Times New Roman"/>
          <w:sz w:val="24"/>
          <w:szCs w:val="24"/>
        </w:rPr>
        <w:t xml:space="preserve">Asesoría y orientación </w:t>
      </w:r>
      <w:r>
        <w:rPr>
          <w:rFonts w:ascii="Times New Roman" w:hAnsi="Times New Roman" w:cs="Times New Roman"/>
          <w:sz w:val="24"/>
          <w:szCs w:val="24"/>
        </w:rPr>
        <w:t xml:space="preserve"> en trámites.</w:t>
      </w:r>
    </w:p>
    <w:p w:rsidR="001C473E" w:rsidRPr="00F260E5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Llevar el Registro de Actas expedidas diariamente. </w:t>
      </w:r>
    </w:p>
    <w:p w:rsidR="001C473E" w:rsidRPr="00767688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Pr="00767688" w:rsidRDefault="001C473E" w:rsidP="001C47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C473E" w:rsidRPr="004E1777" w:rsidRDefault="001C473E" w:rsidP="001C473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Atender las instrucciones del Presidente Municipal y de los Superiores Jerárquicos dentro de las facultades otorgadas por la dependencia y los  ordenamientos aplicables</w:t>
      </w:r>
    </w:p>
    <w:p w:rsidR="001C473E" w:rsidRPr="001C473E" w:rsidRDefault="001C473E" w:rsidP="001C473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C473E" w:rsidRDefault="001C473E" w:rsidP="00FA7B73">
      <w:pPr>
        <w:tabs>
          <w:tab w:val="center" w:pos="4252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Tablaconcuadrcula"/>
        <w:tblpPr w:leftFromText="141" w:rightFromText="141" w:tblpY="960"/>
        <w:tblW w:w="8789" w:type="dxa"/>
        <w:tblLook w:val="04A0" w:firstRow="1" w:lastRow="0" w:firstColumn="1" w:lastColumn="0" w:noHBand="0" w:noVBand="1"/>
      </w:tblPr>
      <w:tblGrid>
        <w:gridCol w:w="1735"/>
        <w:gridCol w:w="2084"/>
        <w:gridCol w:w="2022"/>
        <w:gridCol w:w="1545"/>
        <w:gridCol w:w="1403"/>
      </w:tblGrid>
      <w:tr w:rsidR="00BA6971" w:rsidRPr="00DD278A" w:rsidTr="00696CDD">
        <w:tc>
          <w:tcPr>
            <w:tcW w:w="173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lastRenderedPageBreak/>
              <w:t xml:space="preserve">Tramite o servicio </w:t>
            </w:r>
          </w:p>
        </w:tc>
        <w:tc>
          <w:tcPr>
            <w:tcW w:w="2084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Estado Inicial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Estado Final</w:t>
            </w:r>
          </w:p>
        </w:tc>
        <w:tc>
          <w:tcPr>
            <w:tcW w:w="154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Categoría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Clasificación</w:t>
            </w:r>
          </w:p>
        </w:tc>
      </w:tr>
      <w:tr w:rsidR="00BA6971" w:rsidRPr="00DD278A" w:rsidTr="00696CDD">
        <w:tc>
          <w:tcPr>
            <w:tcW w:w="173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Levantamientos de </w:t>
            </w: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Actos (</w:t>
            </w: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Registros del estado civil de las personas.</w:t>
            </w: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084" w:type="dxa"/>
          </w:tcPr>
          <w:p w:rsidR="00BA6971" w:rsidRPr="00DD278A" w:rsidRDefault="00BA6971" w:rsidP="00696CDD">
            <w:pPr>
              <w:pStyle w:val="Ttulo2"/>
              <w:outlineLvl w:val="1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color w:val="auto"/>
                <w:sz w:val="18"/>
                <w:szCs w:val="18"/>
                <w:lang w:val="es-ES_tradnl"/>
              </w:rPr>
              <w:t xml:space="preserve">Integración de la documentación para la acreditación del registro de los actos del estado civil de las personas. Según sea el caso.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s-ES_tradnl"/>
              </w:rPr>
              <w:t xml:space="preserve"> Realización de los pagos correspondientes. 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Autorización y levantamiento de los registros del estado civil de las personas en formas valoradas por la dirección del Registro Civil del Estado.</w:t>
            </w:r>
          </w:p>
        </w:tc>
        <w:tc>
          <w:tcPr>
            <w:tcW w:w="154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 personal (Solo los interesados)</w:t>
            </w:r>
          </w:p>
        </w:tc>
      </w:tr>
      <w:tr w:rsidR="00BA6971" w:rsidRPr="00DD278A" w:rsidTr="00696CDD">
        <w:tc>
          <w:tcPr>
            <w:tcW w:w="173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Levantamiento de actos Vía Judicial</w:t>
            </w:r>
          </w:p>
        </w:tc>
        <w:tc>
          <w:tcPr>
            <w:tcW w:w="2084" w:type="dxa"/>
          </w:tcPr>
          <w:p w:rsidR="00BA6971" w:rsidRDefault="00BA6971" w:rsidP="00696CDD">
            <w:pPr>
              <w:pStyle w:val="Ttulo2"/>
              <w:outlineLvl w:val="1"/>
              <w:rPr>
                <w:rFonts w:ascii="Times New Roman" w:hAnsi="Times New Roman" w:cs="Times New Roman"/>
                <w:color w:val="auto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color w:val="auto"/>
                <w:sz w:val="18"/>
                <w:szCs w:val="18"/>
                <w:lang w:val="es-ES_tradnl"/>
              </w:rPr>
              <w:t>Realizar los levantamientos una vez que se reciba la orden judicial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s-ES_tradnl"/>
              </w:rPr>
              <w:t xml:space="preserve"> emitida  por el Juzgado correspondiente. </w:t>
            </w:r>
          </w:p>
          <w:p w:rsidR="00BA6971" w:rsidRPr="007D257D" w:rsidRDefault="00BA6971" w:rsidP="00696CDD">
            <w:pPr>
              <w:rPr>
                <w:lang w:val="es-ES_tradnl"/>
              </w:rPr>
            </w:pPr>
            <w:r>
              <w:rPr>
                <w:lang w:val="es-ES_tradnl"/>
              </w:rPr>
              <w:t>Realización de los pagos correspondientes.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Levantamiento de los registros del estado civil de las personas en formas valoradas por la dirección del Registro Civil del Estado, mediante orden judicial. </w:t>
            </w:r>
          </w:p>
        </w:tc>
        <w:tc>
          <w:tcPr>
            <w:tcW w:w="154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 Personal (Solo los interesados)</w:t>
            </w:r>
          </w:p>
        </w:tc>
      </w:tr>
      <w:tr w:rsidR="00BA6971" w:rsidRPr="00DD278A" w:rsidTr="00696CDD">
        <w:tc>
          <w:tcPr>
            <w:tcW w:w="173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Certificación de actos y constancias del registro civil.</w:t>
            </w:r>
          </w:p>
        </w:tc>
        <w:tc>
          <w:tcPr>
            <w:tcW w:w="2084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Atender a las solicitudes de certificación de constancias de actos del estado civil de la personas.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Expedición de copias certificadas en formato de alta seguridad nacional y hojas con membrete.</w:t>
            </w:r>
          </w:p>
        </w:tc>
        <w:tc>
          <w:tcPr>
            <w:tcW w:w="1545" w:type="dxa"/>
          </w:tcPr>
          <w:p w:rsidR="00BA6971" w:rsidRPr="00DD278A" w:rsidRDefault="004911E7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Cualquier persona.</w:t>
            </w:r>
          </w:p>
        </w:tc>
      </w:tr>
      <w:tr w:rsidR="00BA6971" w:rsidRPr="00DD278A" w:rsidTr="00696CDD">
        <w:tc>
          <w:tcPr>
            <w:tcW w:w="173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Expedición de actas certificadas   del Estado de Jalisco y otros Estados de la República Mexicana.</w:t>
            </w:r>
          </w:p>
        </w:tc>
        <w:tc>
          <w:tcPr>
            <w:tcW w:w="2084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Recibir solicitudes de actas de todos los actos de Jalisco.</w:t>
            </w: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Previa realización del pago.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Entregar a los solicitantes copia certificada  o extracto de actas en hojas de alta seguridad nacional.</w:t>
            </w:r>
          </w:p>
        </w:tc>
        <w:tc>
          <w:tcPr>
            <w:tcW w:w="1545" w:type="dxa"/>
          </w:tcPr>
          <w:p w:rsidR="00BA6971" w:rsidRPr="00DD278A" w:rsidRDefault="004911E7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Cualquier persona</w:t>
            </w:r>
          </w:p>
        </w:tc>
      </w:tr>
      <w:tr w:rsidR="00BA6971" w:rsidRPr="00DD278A" w:rsidTr="00696CDD">
        <w:tc>
          <w:tcPr>
            <w:tcW w:w="173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Clave Única de Registro de Población (CURP)</w:t>
            </w:r>
          </w:p>
        </w:tc>
        <w:tc>
          <w:tcPr>
            <w:tcW w:w="2084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Recibir las solicitudes de impresión, altas, cambios y correcciones de la clave CURP.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Entregar a los solicitantes su constancia del trámite solicitado.</w:t>
            </w:r>
          </w:p>
        </w:tc>
        <w:tc>
          <w:tcPr>
            <w:tcW w:w="154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</w:t>
            </w:r>
            <w:r w:rsidR="004911E7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y/o servicio 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tabs>
                <w:tab w:val="left" w:pos="1110"/>
              </w:tabs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Para expedición cualquier persona, para cor</w:t>
            </w: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recciones el trámite debe ser personal. </w:t>
            </w:r>
          </w:p>
        </w:tc>
      </w:tr>
      <w:tr w:rsidR="00BA6971" w:rsidRPr="00DD278A" w:rsidTr="00696CDD">
        <w:tc>
          <w:tcPr>
            <w:tcW w:w="173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Aclaración administrativa de actas</w:t>
            </w:r>
          </w:p>
        </w:tc>
        <w:tc>
          <w:tcPr>
            <w:tcW w:w="2084" w:type="dxa"/>
          </w:tcPr>
          <w:p w:rsidR="00BA6971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Recibir solicitudes que procedan administrativamente justificando con medios de prueba.</w:t>
            </w: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Dependiendo el caso son los requisitos, por lo que es necesaria la asesoría por parte del Oficial.</w:t>
            </w:r>
          </w:p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Pago  de derechos. 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Dar una solución a las solicitudes con la resolución administrativa o bien canalizando al juzgado correspondiente para su anotación o rectificación.</w:t>
            </w:r>
          </w:p>
        </w:tc>
        <w:tc>
          <w:tcPr>
            <w:tcW w:w="154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 de carácter personal.</w:t>
            </w:r>
          </w:p>
        </w:tc>
      </w:tr>
      <w:tr w:rsidR="00BA6971" w:rsidRPr="00DD278A" w:rsidTr="00696CDD">
        <w:tc>
          <w:tcPr>
            <w:tcW w:w="1735" w:type="dxa"/>
          </w:tcPr>
          <w:p w:rsidR="00BA6971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Permisos de inhumación y/o cremación. </w:t>
            </w:r>
          </w:p>
          <w:p w:rsidR="00BA6971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</w:p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Permiso de traslado.</w:t>
            </w:r>
          </w:p>
        </w:tc>
        <w:tc>
          <w:tcPr>
            <w:tcW w:w="2084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Recibir la solicitud junto con el Acta de Defunción, número de cripta y el pago de derechos.</w:t>
            </w:r>
          </w:p>
        </w:tc>
        <w:tc>
          <w:tcPr>
            <w:tcW w:w="2022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Entregar el permiso al familiar de la persona fallecida. </w:t>
            </w:r>
          </w:p>
        </w:tc>
        <w:tc>
          <w:tcPr>
            <w:tcW w:w="1545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D278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Tramite</w:t>
            </w:r>
          </w:p>
        </w:tc>
        <w:tc>
          <w:tcPr>
            <w:tcW w:w="1403" w:type="dxa"/>
          </w:tcPr>
          <w:p w:rsidR="00BA6971" w:rsidRPr="00DD278A" w:rsidRDefault="00BA6971" w:rsidP="00696CD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Familiar de la persona fallecida. </w:t>
            </w:r>
          </w:p>
        </w:tc>
      </w:tr>
    </w:tbl>
    <w:p w:rsidR="00AF4D12" w:rsidRDefault="00AF4D12" w:rsidP="00AF4D12">
      <w:pPr>
        <w:tabs>
          <w:tab w:val="left" w:pos="7185"/>
        </w:tabs>
        <w:rPr>
          <w:rFonts w:ascii="Times New Roman" w:hAnsi="Times New Roman" w:cs="Times New Roman"/>
          <w:sz w:val="18"/>
          <w:szCs w:val="18"/>
          <w:lang w:val="es-ES_tradnl"/>
        </w:rPr>
      </w:pPr>
      <w:r>
        <w:rPr>
          <w:rFonts w:ascii="Times New Roman" w:hAnsi="Times New Roman" w:cs="Times New Roman"/>
          <w:sz w:val="18"/>
          <w:szCs w:val="18"/>
          <w:lang w:val="es-ES_tradnl"/>
        </w:rPr>
        <w:tab/>
      </w:r>
    </w:p>
    <w:p w:rsidR="00AF4D12" w:rsidRDefault="00AF4D12" w:rsidP="00AF4D12">
      <w:pPr>
        <w:rPr>
          <w:rFonts w:ascii="Times New Roman" w:hAnsi="Times New Roman" w:cs="Times New Roman"/>
          <w:lang w:val="es-ES_tradnl"/>
        </w:rPr>
      </w:pPr>
    </w:p>
    <w:p w:rsidR="00EE4319" w:rsidRPr="00AF4D12" w:rsidRDefault="00EE4319" w:rsidP="007C6275">
      <w:pPr>
        <w:tabs>
          <w:tab w:val="left" w:pos="5580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:lang w:val="es-ES_tradn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12789" w:rsidRDefault="00212789" w:rsidP="00371A02">
      <w:pPr>
        <w:jc w:val="center"/>
      </w:pPr>
    </w:p>
    <w:p w:rsidR="00212789" w:rsidRDefault="00212789" w:rsidP="00371A02">
      <w:pPr>
        <w:jc w:val="center"/>
      </w:pPr>
    </w:p>
    <w:p w:rsidR="00AF4D12" w:rsidRDefault="00AF4D12" w:rsidP="000B2D47"/>
    <w:p w:rsidR="00AF4D12" w:rsidRDefault="00AF4D12" w:rsidP="000B2D47"/>
    <w:p w:rsidR="001C473E" w:rsidRDefault="001C473E" w:rsidP="000B2D47"/>
    <w:p w:rsidR="00DD278A" w:rsidRPr="0091705F" w:rsidRDefault="00DD278A" w:rsidP="0091705F">
      <w:pPr>
        <w:tabs>
          <w:tab w:val="left" w:pos="7185"/>
        </w:tabs>
        <w:rPr>
          <w:rFonts w:ascii="Times New Roman" w:hAnsi="Times New Roman" w:cs="Times New Roman"/>
          <w:sz w:val="18"/>
          <w:szCs w:val="18"/>
          <w:lang w:val="es-ES_tradnl"/>
        </w:rPr>
      </w:pPr>
    </w:p>
    <w:p w:rsidR="00BB43A2" w:rsidRDefault="00BB43A2" w:rsidP="00BB43A2">
      <w:pPr>
        <w:tabs>
          <w:tab w:val="left" w:pos="6375"/>
        </w:tabs>
        <w:rPr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462915</wp:posOffset>
                </wp:positionH>
                <wp:positionV relativeFrom="paragraph">
                  <wp:posOffset>-80645</wp:posOffset>
                </wp:positionV>
                <wp:extent cx="628650" cy="333375"/>
                <wp:effectExtent l="0" t="19050" r="38100" b="47625"/>
                <wp:wrapNone/>
                <wp:docPr id="43" name="Flech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CAAE" id="Flecha derecha 43" o:spid="_x0000_s1026" type="#_x0000_t13" style="position:absolute;margin-left:36.45pt;margin-top:-6.35pt;width:49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" adj="15873" fillcolor="#5b9bd5 [3204]" strokecolor="#1f4d78 [1604]" strokeweight="1pt">
                <w10:wrap anchorx="margin"/>
              </v:shape>
            </w:pict>
          </mc:Fallback>
        </mc:AlternateContent>
      </w:r>
      <w:r>
        <w:t xml:space="preserve">                                                          </w:t>
      </w:r>
      <w:r w:rsidRPr="00BB43A2">
        <w:rPr>
          <w:sz w:val="32"/>
          <w:szCs w:val="32"/>
        </w:rPr>
        <w:t xml:space="preserve">AUTORIZACIÒN </w:t>
      </w:r>
    </w:p>
    <w:p w:rsidR="00BB43A2" w:rsidRDefault="00BB43A2" w:rsidP="00BB43A2">
      <w:pPr>
        <w:tabs>
          <w:tab w:val="left" w:pos="6375"/>
        </w:tabs>
        <w:rPr>
          <w:sz w:val="32"/>
          <w:szCs w:val="32"/>
        </w:rPr>
      </w:pPr>
    </w:p>
    <w:p w:rsidR="00BB43A2" w:rsidRDefault="00BB43A2" w:rsidP="00BB43A2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9E3E39" wp14:editId="46C610C2">
                <wp:simplePos x="0" y="0"/>
                <wp:positionH relativeFrom="column">
                  <wp:posOffset>453390</wp:posOffset>
                </wp:positionH>
                <wp:positionV relativeFrom="paragraph">
                  <wp:posOffset>9525</wp:posOffset>
                </wp:positionV>
                <wp:extent cx="3190875" cy="1638300"/>
                <wp:effectExtent l="0" t="0" r="28575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3A2" w:rsidRDefault="009037F4" w:rsidP="00BB43A2">
                            <w:pPr>
                              <w:jc w:val="center"/>
                            </w:pPr>
                            <w:r>
                              <w:t>ELABORÓ</w:t>
                            </w:r>
                            <w:r w:rsidR="001F05AA">
                              <w:t>:</w:t>
                            </w:r>
                          </w:p>
                          <w:p w:rsidR="00BB43A2" w:rsidRDefault="00BB43A2" w:rsidP="001F05AA"/>
                          <w:p w:rsidR="00BB43A2" w:rsidRDefault="00BB43A2" w:rsidP="00BB43A2">
                            <w:pPr>
                              <w:spacing w:after="0"/>
                              <w:jc w:val="center"/>
                            </w:pPr>
                            <w:r>
                              <w:t>LIC.LILIANA VANESSA AZPEITIA SOLTERO</w:t>
                            </w:r>
                          </w:p>
                          <w:p w:rsidR="00BB43A2" w:rsidRDefault="00BB43A2" w:rsidP="00BB43A2">
                            <w:pPr>
                              <w:spacing w:after="0"/>
                              <w:jc w:val="center"/>
                            </w:pPr>
                            <w:r>
                              <w:t>OFICIAL DEL REGISTRO CIVIL</w:t>
                            </w:r>
                          </w:p>
                          <w:p w:rsidR="00BB43A2" w:rsidRDefault="00BB43A2" w:rsidP="00BB4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E3E39" id="Rectángulo 41" o:spid="_x0000_s1027" style="position:absolute;left:0;text-align:left;margin-left:35.7pt;margin-top:.75pt;width:251.25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" fillcolor="white [3201]" strokecolor="#70ad47 [3209]" strokeweight="1pt">
                <v:textbox>
                  <w:txbxContent>
                    <w:p w:rsidR="00BB43A2" w:rsidRDefault="009037F4" w:rsidP="00BB43A2">
                      <w:pPr>
                        <w:jc w:val="center"/>
                      </w:pPr>
                      <w:r>
                        <w:t>ELABORÓ</w:t>
                      </w:r>
                      <w:r w:rsidR="001F05AA">
                        <w:t>:</w:t>
                      </w:r>
                    </w:p>
                    <w:p w:rsidR="00BB43A2" w:rsidRDefault="00BB43A2" w:rsidP="001F05AA"/>
                    <w:p w:rsidR="00BB43A2" w:rsidRDefault="00BB43A2" w:rsidP="00BB43A2">
                      <w:pPr>
                        <w:spacing w:after="0"/>
                        <w:jc w:val="center"/>
                      </w:pPr>
                      <w:r>
                        <w:t>LIC.LILIANA VANESSA AZPEITIA SOLTERO</w:t>
                      </w:r>
                    </w:p>
                    <w:p w:rsidR="00BB43A2" w:rsidRDefault="00BB43A2" w:rsidP="00BB43A2">
                      <w:pPr>
                        <w:spacing w:after="0"/>
                        <w:jc w:val="center"/>
                      </w:pPr>
                      <w:r>
                        <w:t>OFICIAL DEL REGISTRO CIVIL</w:t>
                      </w:r>
                    </w:p>
                    <w:p w:rsidR="00BB43A2" w:rsidRDefault="00BB43A2" w:rsidP="00BB43A2"/>
                  </w:txbxContent>
                </v:textbox>
              </v:rect>
            </w:pict>
          </mc:Fallback>
        </mc:AlternateContent>
      </w: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DCCA7" wp14:editId="7020E4E7">
                <wp:simplePos x="0" y="0"/>
                <wp:positionH relativeFrom="column">
                  <wp:posOffset>462916</wp:posOffset>
                </wp:positionH>
                <wp:positionV relativeFrom="paragraph">
                  <wp:posOffset>99060</wp:posOffset>
                </wp:positionV>
                <wp:extent cx="3867150" cy="333375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33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3A2" w:rsidRDefault="001C473E" w:rsidP="00BB43A2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Revisó</w:t>
                            </w:r>
                            <w:r w:rsidR="00BB43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</w:t>
                            </w: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1F05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F05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C. Miguel Macario Peña Guitró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  </w:t>
                            </w: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Contralor Municipal.</w:t>
                            </w: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43A2" w:rsidRDefault="009037F4" w:rsidP="001F05AA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Autorizó</w:t>
                            </w:r>
                            <w:r w:rsidR="001F05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  </w:t>
                            </w:r>
                            <w:r w:rsidR="00BB43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C. Juan Manuel  Estrella Jiménez                         </w:t>
                            </w: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Presidente Municipal</w:t>
                            </w:r>
                            <w:bookmarkStart w:id="0" w:name="_GoBack"/>
                            <w:bookmarkEnd w:id="0"/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43A2" w:rsidRDefault="00BB43A2" w:rsidP="00BB43A2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BB43A2" w:rsidRPr="004E1777" w:rsidRDefault="00BB43A2" w:rsidP="00BB43A2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43A2" w:rsidRDefault="00BB43A2" w:rsidP="00BB43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CCA7" id="Rectángulo 42" o:spid="_x0000_s1028" style="position:absolute;left:0;text-align:left;margin-left:36.45pt;margin-top:7.8pt;width:304.5pt;height:26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" fillcolor="white [3201]" strokecolor="#70ad47 [3209]" strokeweight="1pt">
                <v:textbox>
                  <w:txbxContent>
                    <w:p w:rsidR="00BB43A2" w:rsidRDefault="001C473E" w:rsidP="00BB43A2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Revisó</w:t>
                      </w:r>
                      <w:r w:rsidR="00BB43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 </w:t>
                      </w: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="001F05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1F05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C. Miguel Macario Peña Guitró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  </w:t>
                      </w: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Contralor Municipal.</w:t>
                      </w: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B43A2" w:rsidRDefault="009037F4" w:rsidP="001F05AA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Autorizó</w:t>
                      </w:r>
                      <w:r w:rsidR="001F05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   </w:t>
                      </w:r>
                      <w:r w:rsidR="00BB43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C. Juan Manuel  Estrella Jiménez                         </w:t>
                      </w: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Presidente Municipal</w:t>
                      </w:r>
                      <w:bookmarkStart w:id="1" w:name="_GoBack"/>
                      <w:bookmarkEnd w:id="1"/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B43A2" w:rsidRDefault="00BB43A2" w:rsidP="00BB43A2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BB43A2" w:rsidRPr="004E1777" w:rsidRDefault="00BB43A2" w:rsidP="00BB43A2">
                      <w:pPr>
                        <w:pStyle w:val="Prrafodelista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B43A2" w:rsidRDefault="00BB43A2" w:rsidP="00BB43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43A2" w:rsidRDefault="00BB43A2" w:rsidP="00BB43A2">
      <w:pPr>
        <w:tabs>
          <w:tab w:val="left" w:pos="5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Default="00BB43A2" w:rsidP="00BB43A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B43A2" w:rsidRPr="006871F5" w:rsidRDefault="00BB43A2" w:rsidP="006871F5">
      <w:pPr>
        <w:tabs>
          <w:tab w:val="left" w:pos="6375"/>
        </w:tabs>
      </w:pPr>
    </w:p>
    <w:sectPr w:rsidR="00BB43A2" w:rsidRPr="006871F5" w:rsidSect="00DD278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4B" w:rsidRDefault="0068264B" w:rsidP="00CF4FE0">
      <w:pPr>
        <w:spacing w:after="0" w:line="240" w:lineRule="auto"/>
      </w:pPr>
      <w:r>
        <w:separator/>
      </w:r>
    </w:p>
  </w:endnote>
  <w:endnote w:type="continuationSeparator" w:id="0">
    <w:p w:rsidR="0068264B" w:rsidRDefault="0068264B" w:rsidP="00CF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4B" w:rsidRDefault="0068264B" w:rsidP="00CF4FE0">
      <w:pPr>
        <w:spacing w:after="0" w:line="240" w:lineRule="auto"/>
      </w:pPr>
      <w:r>
        <w:separator/>
      </w:r>
    </w:p>
  </w:footnote>
  <w:footnote w:type="continuationSeparator" w:id="0">
    <w:p w:rsidR="0068264B" w:rsidRDefault="0068264B" w:rsidP="00CF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4F79"/>
    <w:multiLevelType w:val="hybridMultilevel"/>
    <w:tmpl w:val="F82686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1"/>
    <w:rsid w:val="000359DB"/>
    <w:rsid w:val="00036261"/>
    <w:rsid w:val="00095573"/>
    <w:rsid w:val="000B2D47"/>
    <w:rsid w:val="000B689C"/>
    <w:rsid w:val="000C3F8D"/>
    <w:rsid w:val="0013689C"/>
    <w:rsid w:val="001B3D33"/>
    <w:rsid w:val="001C473E"/>
    <w:rsid w:val="001E05B7"/>
    <w:rsid w:val="001F05AA"/>
    <w:rsid w:val="00200BB7"/>
    <w:rsid w:val="002107A6"/>
    <w:rsid w:val="00212789"/>
    <w:rsid w:val="00212D3F"/>
    <w:rsid w:val="00230C36"/>
    <w:rsid w:val="002317CD"/>
    <w:rsid w:val="002456B3"/>
    <w:rsid w:val="0026025B"/>
    <w:rsid w:val="00266A40"/>
    <w:rsid w:val="002A3C4E"/>
    <w:rsid w:val="00325253"/>
    <w:rsid w:val="00357366"/>
    <w:rsid w:val="00360109"/>
    <w:rsid w:val="00371A02"/>
    <w:rsid w:val="00380949"/>
    <w:rsid w:val="003878DC"/>
    <w:rsid w:val="003F1AB2"/>
    <w:rsid w:val="00444878"/>
    <w:rsid w:val="00485907"/>
    <w:rsid w:val="004911E7"/>
    <w:rsid w:val="004A48E0"/>
    <w:rsid w:val="004C4A91"/>
    <w:rsid w:val="00500106"/>
    <w:rsid w:val="00582C6B"/>
    <w:rsid w:val="006375B7"/>
    <w:rsid w:val="006409EB"/>
    <w:rsid w:val="006429CE"/>
    <w:rsid w:val="006477D6"/>
    <w:rsid w:val="006819F3"/>
    <w:rsid w:val="0068264B"/>
    <w:rsid w:val="00682FEF"/>
    <w:rsid w:val="006859E8"/>
    <w:rsid w:val="006871F5"/>
    <w:rsid w:val="006911F4"/>
    <w:rsid w:val="00697126"/>
    <w:rsid w:val="006A0994"/>
    <w:rsid w:val="006B249D"/>
    <w:rsid w:val="006C0DC7"/>
    <w:rsid w:val="006C1604"/>
    <w:rsid w:val="006D0A83"/>
    <w:rsid w:val="006F29BE"/>
    <w:rsid w:val="006F6332"/>
    <w:rsid w:val="00704751"/>
    <w:rsid w:val="00720FC4"/>
    <w:rsid w:val="007338BC"/>
    <w:rsid w:val="007550F4"/>
    <w:rsid w:val="00783518"/>
    <w:rsid w:val="007A20D0"/>
    <w:rsid w:val="007A5CD1"/>
    <w:rsid w:val="007B0602"/>
    <w:rsid w:val="007B0C68"/>
    <w:rsid w:val="007C6275"/>
    <w:rsid w:val="00805C2C"/>
    <w:rsid w:val="00807059"/>
    <w:rsid w:val="0081275B"/>
    <w:rsid w:val="00820E18"/>
    <w:rsid w:val="008324F9"/>
    <w:rsid w:val="008525A3"/>
    <w:rsid w:val="00855C84"/>
    <w:rsid w:val="008612EF"/>
    <w:rsid w:val="00891269"/>
    <w:rsid w:val="00893979"/>
    <w:rsid w:val="008F7E3B"/>
    <w:rsid w:val="00903487"/>
    <w:rsid w:val="009037F4"/>
    <w:rsid w:val="00913EA3"/>
    <w:rsid w:val="0091705F"/>
    <w:rsid w:val="00917D4B"/>
    <w:rsid w:val="0096602E"/>
    <w:rsid w:val="009C3CF9"/>
    <w:rsid w:val="009E6AA1"/>
    <w:rsid w:val="009F0C73"/>
    <w:rsid w:val="00A15EE0"/>
    <w:rsid w:val="00A24946"/>
    <w:rsid w:val="00A263ED"/>
    <w:rsid w:val="00A339DC"/>
    <w:rsid w:val="00A34CF8"/>
    <w:rsid w:val="00AC1CC7"/>
    <w:rsid w:val="00AD4332"/>
    <w:rsid w:val="00AE0655"/>
    <w:rsid w:val="00AF4D12"/>
    <w:rsid w:val="00B00A0C"/>
    <w:rsid w:val="00B10799"/>
    <w:rsid w:val="00B229C4"/>
    <w:rsid w:val="00B73552"/>
    <w:rsid w:val="00BA6971"/>
    <w:rsid w:val="00BB43A2"/>
    <w:rsid w:val="00BC65F4"/>
    <w:rsid w:val="00C069F5"/>
    <w:rsid w:val="00C50D45"/>
    <w:rsid w:val="00C60D50"/>
    <w:rsid w:val="00C61A71"/>
    <w:rsid w:val="00CA4D46"/>
    <w:rsid w:val="00CB1FD6"/>
    <w:rsid w:val="00CB338C"/>
    <w:rsid w:val="00CB616B"/>
    <w:rsid w:val="00CF4FE0"/>
    <w:rsid w:val="00D0239E"/>
    <w:rsid w:val="00D039A7"/>
    <w:rsid w:val="00D03D41"/>
    <w:rsid w:val="00D0678B"/>
    <w:rsid w:val="00D119CE"/>
    <w:rsid w:val="00D12660"/>
    <w:rsid w:val="00D23F73"/>
    <w:rsid w:val="00D3000D"/>
    <w:rsid w:val="00D40CA5"/>
    <w:rsid w:val="00D46128"/>
    <w:rsid w:val="00D83586"/>
    <w:rsid w:val="00DB04B0"/>
    <w:rsid w:val="00DD278A"/>
    <w:rsid w:val="00DE07F6"/>
    <w:rsid w:val="00DE1484"/>
    <w:rsid w:val="00DE7AA0"/>
    <w:rsid w:val="00E03ECF"/>
    <w:rsid w:val="00E17DF3"/>
    <w:rsid w:val="00E24647"/>
    <w:rsid w:val="00E63125"/>
    <w:rsid w:val="00EB5439"/>
    <w:rsid w:val="00ED11A9"/>
    <w:rsid w:val="00EE4319"/>
    <w:rsid w:val="00EF452E"/>
    <w:rsid w:val="00F06AD9"/>
    <w:rsid w:val="00F1640B"/>
    <w:rsid w:val="00F43D83"/>
    <w:rsid w:val="00F61862"/>
    <w:rsid w:val="00F67664"/>
    <w:rsid w:val="00F67F73"/>
    <w:rsid w:val="00F747CD"/>
    <w:rsid w:val="00F87616"/>
    <w:rsid w:val="00FA4E40"/>
    <w:rsid w:val="00FA7B73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E3AC-EAB1-4EE7-9A10-6DDDDF7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CA5"/>
  </w:style>
  <w:style w:type="paragraph" w:styleId="Ttulo1">
    <w:name w:val="heading 1"/>
    <w:basedOn w:val="Normal"/>
    <w:next w:val="Normal"/>
    <w:link w:val="Ttulo1Car"/>
    <w:uiPriority w:val="9"/>
    <w:qFormat/>
    <w:rsid w:val="00D40CA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CA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0C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0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0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0C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0C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0C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0C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2D47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40CA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CF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E0"/>
  </w:style>
  <w:style w:type="paragraph" w:styleId="Piedepgina">
    <w:name w:val="footer"/>
    <w:basedOn w:val="Normal"/>
    <w:link w:val="PiedepginaCar"/>
    <w:uiPriority w:val="99"/>
    <w:unhideWhenUsed/>
    <w:rsid w:val="00CF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E0"/>
  </w:style>
  <w:style w:type="character" w:customStyle="1" w:styleId="Ttulo1Car">
    <w:name w:val="Título 1 Car"/>
    <w:basedOn w:val="Fuentedeprrafopredeter"/>
    <w:link w:val="Ttulo1"/>
    <w:uiPriority w:val="9"/>
    <w:rsid w:val="00D40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0CA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0CA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0CA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0CA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0CA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0CA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0CA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0CA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D40C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40CA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CA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0CA5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0CA5"/>
    <w:rPr>
      <w:b/>
      <w:bCs/>
    </w:rPr>
  </w:style>
  <w:style w:type="character" w:styleId="nfasis">
    <w:name w:val="Emphasis"/>
    <w:basedOn w:val="Fuentedeprrafopredeter"/>
    <w:uiPriority w:val="20"/>
    <w:qFormat/>
    <w:rsid w:val="00D40CA5"/>
    <w:rPr>
      <w:i/>
      <w:iCs/>
    </w:rPr>
  </w:style>
  <w:style w:type="paragraph" w:styleId="Sinespaciado">
    <w:name w:val="No Spacing"/>
    <w:uiPriority w:val="1"/>
    <w:qFormat/>
    <w:rsid w:val="00D40CA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40CA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0CA5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0CA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0CA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40CA5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40CA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40CA5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40CA5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40CA5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40CA5"/>
    <w:pPr>
      <w:outlineLvl w:val="9"/>
    </w:pPr>
  </w:style>
  <w:style w:type="paragraph" w:styleId="Prrafodelista">
    <w:name w:val="List Paragraph"/>
    <w:basedOn w:val="Normal"/>
    <w:uiPriority w:val="34"/>
    <w:qFormat/>
    <w:rsid w:val="00BB43A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0ED8-DABB-4915-973E-6F0BE7B4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</dc:creator>
  <cp:keywords/>
  <dc:description/>
  <cp:lastModifiedBy>Registro Civil</cp:lastModifiedBy>
  <cp:revision>186</cp:revision>
  <dcterms:created xsi:type="dcterms:W3CDTF">2018-12-17T20:07:00Z</dcterms:created>
  <dcterms:modified xsi:type="dcterms:W3CDTF">2019-01-30T16:32:00Z</dcterms:modified>
</cp:coreProperties>
</file>